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3" w:rsidRPr="001F5E73" w:rsidRDefault="001F5E73" w:rsidP="001F5E73">
      <w:pPr>
        <w:spacing w:after="0" w:line="375" w:lineRule="atLeast"/>
        <w:outlineLvl w:val="0"/>
        <w:rPr>
          <w:rFonts w:ascii="Arial" w:eastAsia="Times New Roman" w:hAnsi="Arial" w:cs="Arial"/>
          <w:b/>
          <w:bCs/>
          <w:color w:val="545454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545454"/>
          <w:kern w:val="36"/>
          <w:sz w:val="33"/>
          <w:szCs w:val="33"/>
          <w:lang w:eastAsia="ru-RU"/>
        </w:rPr>
        <w:t>Лекция 17</w:t>
      </w:r>
      <w:r w:rsidRPr="001F5E73">
        <w:rPr>
          <w:rFonts w:ascii="Arial" w:eastAsia="Times New Roman" w:hAnsi="Arial" w:cs="Arial"/>
          <w:b/>
          <w:bCs/>
          <w:color w:val="545454"/>
          <w:kern w:val="36"/>
          <w:sz w:val="33"/>
          <w:szCs w:val="33"/>
          <w:lang w:eastAsia="ru-RU"/>
        </w:rPr>
        <w:t>. Средства, влияющие на функцию органов пищеварения (часть 1)</w:t>
      </w:r>
    </w:p>
    <w:p w:rsidR="001F5E73" w:rsidRPr="001F5E73" w:rsidRDefault="001F5E73" w:rsidP="001F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05CC5" w:rsidRDefault="001F5E73" w:rsidP="00F54AB9">
      <w:r w:rsidRPr="001F5E73">
        <w:rPr>
          <w:rFonts w:ascii="Arial" w:eastAsia="Times New Roman" w:hAnsi="Arial" w:cs="Arial"/>
          <w:color w:val="000000"/>
          <w:lang w:eastAsia="ru-RU"/>
        </w:rPr>
        <w:t>Для лечения заболеваний желудочно-кишечного тракта используется большое число разнообразных лекарственных средств, которые могут прямо влиять на функции пищеварительного аппарата или вмешиваться в нервную и гормональную регуляцию.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b/>
          <w:bCs/>
          <w:color w:val="000000"/>
          <w:lang w:eastAsia="ru-RU"/>
        </w:rPr>
        <w:br/>
        <w:t>1. Средства, влияющие на аппетит</w:t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>I. Средства, повышающие аппетит, которые либо стимулируют центр голода, либо тормозят центр насыщения.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 xml:space="preserve">К рефлекторно действующим стимуляторам относятся горечи - настои, настойки, жидкие экстракты горьких трав (полынь горькая, трава золототысячника, сок подорожника, корень одуванчика, корневища аира,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плантаглюцид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>). Принятые за 10-15 мин. до еды, они возбуждают рецепторы языка и рефлекторно - центр голода, что ведет к усилению первой фазы секреции желудка при последующем приеме пищи.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 xml:space="preserve">К центрально действующим стимуляторам аппетита относится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перитол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ципрогептадин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), </w:t>
      </w:r>
      <w:proofErr w:type="gramStart"/>
      <w:r w:rsidRPr="001F5E73">
        <w:rPr>
          <w:rFonts w:ascii="Arial" w:eastAsia="Times New Roman" w:hAnsi="Arial" w:cs="Arial"/>
          <w:color w:val="000000"/>
          <w:lang w:eastAsia="ru-RU"/>
        </w:rPr>
        <w:t>обладающий</w:t>
      </w:r>
      <w:proofErr w:type="gramEnd"/>
      <w:r w:rsidRPr="001F5E73">
        <w:rPr>
          <w:rFonts w:ascii="Arial" w:eastAsia="Times New Roman" w:hAnsi="Arial" w:cs="Arial"/>
          <w:color w:val="000000"/>
          <w:lang w:eastAsia="ru-RU"/>
        </w:rPr>
        <w:t xml:space="preserve"> центральным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антисеротониновым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>, Н1-гистаминблокирующим и М-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холиноблокирующим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действием. Проявляет умеренный седативный и снотворный эффекты. </w:t>
      </w:r>
      <w:proofErr w:type="gramStart"/>
      <w:r w:rsidRPr="001F5E73">
        <w:rPr>
          <w:rFonts w:ascii="Arial" w:eastAsia="Times New Roman" w:hAnsi="Arial" w:cs="Arial"/>
          <w:color w:val="000000"/>
          <w:lang w:eastAsia="ru-RU"/>
        </w:rPr>
        <w:t>Показан</w:t>
      </w:r>
      <w:proofErr w:type="gram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при неврогенной и гормональной худобе,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реконвалесцентам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, может быть назначен детям. </w:t>
      </w:r>
      <w:proofErr w:type="gramStart"/>
      <w:r w:rsidRPr="001F5E73">
        <w:rPr>
          <w:rFonts w:ascii="Arial" w:eastAsia="Times New Roman" w:hAnsi="Arial" w:cs="Arial"/>
          <w:color w:val="000000"/>
          <w:lang w:eastAsia="ru-RU"/>
        </w:rPr>
        <w:t>Противопоказан</w:t>
      </w:r>
      <w:proofErr w:type="gram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при глаукоме.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>II. Средства, снижающие аппетит (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анорексивные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>), действуют противоположно: снижают возбудимость центра голода или активируют центр насыщения, в результате чего уменьшается психологическая потребность в пище. Используются для лечения ожирения. Подразделяются на 2 группы: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 xml:space="preserve">а) средства, влияющие на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катехоламинергическую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систему (стимулируют ЦНС):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 xml:space="preserve">производные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фенилалкиламина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фепранон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амфепранон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) и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дезопимон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хлорфентермин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>);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1F5E73">
        <w:rPr>
          <w:rFonts w:ascii="Arial" w:eastAsia="Times New Roman" w:hAnsi="Arial" w:cs="Arial"/>
          <w:color w:val="000000"/>
          <w:lang w:eastAsia="ru-RU"/>
        </w:rPr>
        <w:t>производное</w:t>
      </w:r>
      <w:proofErr w:type="gram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изоиндола -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мазиндол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>;</w:t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 xml:space="preserve">б) средства, влияющие на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серотонинергическую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систему (угнетают ЦНС): производные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фенилалкиламина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фенфлурамин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>.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 xml:space="preserve">Средства, стимулирующие ЦНС, по механизму действия являются аналогами фенамина. Несмотря на менее выраженное стимулирующее ЦНС и периферическое действие, им присущи (как побочные) эффекты со стороны </w:t>
      </w:r>
      <w:proofErr w:type="gramStart"/>
      <w:r w:rsidRPr="001F5E73">
        <w:rPr>
          <w:rFonts w:ascii="Arial" w:eastAsia="Times New Roman" w:hAnsi="Arial" w:cs="Arial"/>
          <w:color w:val="000000"/>
          <w:lang w:eastAsia="ru-RU"/>
        </w:rPr>
        <w:t>сердечно-сосудистой</w:t>
      </w:r>
      <w:proofErr w:type="gramEnd"/>
      <w:r w:rsidRPr="001F5E73">
        <w:rPr>
          <w:rFonts w:ascii="Arial" w:eastAsia="Times New Roman" w:hAnsi="Arial" w:cs="Arial"/>
          <w:color w:val="000000"/>
          <w:lang w:eastAsia="ru-RU"/>
        </w:rPr>
        <w:t xml:space="preserve"> системы (тахикардия, повышение АД, аритмии) и ЦНС (беспокойство, нарушение сна, риск развития лекарственной зависимости);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фенфлурамин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отличается седативным действием и меньшим количеством побочных эффектов (депрессия, сонливость).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b/>
          <w:bCs/>
          <w:color w:val="000000"/>
          <w:lang w:eastAsia="ru-RU"/>
        </w:rPr>
        <w:t xml:space="preserve">2. </w:t>
      </w:r>
      <w:proofErr w:type="gramStart"/>
      <w:r w:rsidRPr="001F5E73">
        <w:rPr>
          <w:rFonts w:ascii="Arial" w:eastAsia="Times New Roman" w:hAnsi="Arial" w:cs="Arial"/>
          <w:b/>
          <w:bCs/>
          <w:color w:val="000000"/>
          <w:lang w:eastAsia="ru-RU"/>
        </w:rPr>
        <w:t>Средства, применяемые при нарушении функции желез желудка</w:t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>Секреция желез желудка находится</w:t>
      </w:r>
      <w:proofErr w:type="gram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под контролем блуждающего нерва, а также гормонов желудочно-кишечного тракта (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гастрин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, секретин,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холецистокинин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>). Фармакологическое воздействие на секрецию желез желудка может быть как стимулирующим, так и тормозящим.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lastRenderedPageBreak/>
        <w:br/>
        <w:t xml:space="preserve">I. Средства, усиливающие секрецию желудка. Средства заместительной терапии. С диагностической целью используют препараты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гастрина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, гистамин. При функциональном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гипацидном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состоянии эти вещества резко усиливают секрецию желез желудка, при органических поражениях слизистой оболочки усиления секреции не происходит.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Гастрин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увеличивает секрецию хлористоводородной кислоты и пепсина, взаимодействуя со специфическими рецепторами клеток желудка. В медицинской практике используют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пентагастрин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- синтетический фермент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гастрина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>.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 xml:space="preserve">Гистамин стимулирует секрецию желез желудка за счет взаимодействия с Н2-рецепторами. Для исключения побочных эффектов, связанных с возбуждением Н1-рецепторов, гистамин применяют вместе с Н1-блокаторами (димедрол,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дипразин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>).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>К лечебным средствам, повышающим секрецию желез желудка, относятся минеральные воды.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 xml:space="preserve">Часто при недостаточности желез желудка используют средства заместительной терапии - натуральный желудочный сок, пепсин, кислоту хлористоводородную разведенную,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панзинорм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оразу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мезим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-форте,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фестал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дигестал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, панкреатин,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креон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>.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>II. Средства, понижающие секрецию желез желудка, тормозят нейрогенную и гормональную активацию секреции главных и париетальных клеток желудочных желез, понижают выход хлористоводородной кислоты и пепсина.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>Подразделяются на следующие группы: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 xml:space="preserve">а) блокирующие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холинорецепторы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>: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>М-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холиноблокаторы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неизбирательного действия - атропина сульфат,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метацин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>;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>средства, блокирующие преимущественно М1-холинорецепторы (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пирензепин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>);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 xml:space="preserve">средства, блокирующие </w:t>
      </w:r>
      <w:proofErr w:type="gramStart"/>
      <w:r w:rsidRPr="001F5E73">
        <w:rPr>
          <w:rFonts w:ascii="Arial" w:eastAsia="Times New Roman" w:hAnsi="Arial" w:cs="Arial"/>
          <w:color w:val="000000"/>
          <w:lang w:eastAsia="ru-RU"/>
        </w:rPr>
        <w:t>М-</w:t>
      </w:r>
      <w:proofErr w:type="gram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и Н-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холинорецепторы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: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бускапан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пробантин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пропантелина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бромид);</w:t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 xml:space="preserve">б) средства, блокирующие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гистаминовые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Н2-рецепторы: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ранитидин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циметидин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фамотидин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низатидин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>;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>в) ингибиторы протонного насоса (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омепразол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>);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 xml:space="preserve">г) простагландины и их синтетические аналоги -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мизопростол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альпростедил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>);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 xml:space="preserve">д) блокаторы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гастриновых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рецепторов (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проглумид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>).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 xml:space="preserve">Эта группа средств используется при язвенной болезни желудка и двенадцатиперстной кишки и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гиперацидных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состояниях.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 xml:space="preserve">Из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холинотропных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средств наибольшего внимания заслуживает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пирензепин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gramStart"/>
      <w:r w:rsidRPr="001F5E73">
        <w:rPr>
          <w:rFonts w:ascii="Arial" w:eastAsia="Times New Roman" w:hAnsi="Arial" w:cs="Arial"/>
          <w:color w:val="000000"/>
          <w:lang w:eastAsia="ru-RU"/>
        </w:rPr>
        <w:t>производное</w:t>
      </w:r>
      <w:proofErr w:type="gramEnd"/>
      <w:r w:rsidRPr="001F5E7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бензодиазепина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, лишенное центральных эффектов. Он избирательно </w:t>
      </w:r>
      <w:r w:rsidRPr="001F5E73">
        <w:rPr>
          <w:rFonts w:ascii="Arial" w:eastAsia="Times New Roman" w:hAnsi="Arial" w:cs="Arial"/>
          <w:color w:val="000000"/>
          <w:lang w:eastAsia="ru-RU"/>
        </w:rPr>
        <w:lastRenderedPageBreak/>
        <w:t xml:space="preserve">блокирует М1-холинорецепторы желудка и подавляет в связи с этим базальную и вызванную секрецию хлористоводородной кислоты. Кроме этого,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пирензепин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обладает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гастропротекторным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действием.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  <w:t>Блокаторы Н2-гистаминовых рецепторов (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ранитидин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и др.) являются конкурентными антагонистами гистамина. Подавляют базальную и вызванную секрецию хлористоводородной кислоты. Плохо проникают через гематоэнцефалический барьер. Выводятся с желчью.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Ранитидин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низатидин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в 5-10 раз активнее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циметидина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и не имеют присущих последнему побочных эффектов (антиандрогенное действие, лейкопения).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Омепразол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gramStart"/>
      <w:r w:rsidRPr="001F5E73">
        <w:rPr>
          <w:rFonts w:ascii="Arial" w:eastAsia="Times New Roman" w:hAnsi="Arial" w:cs="Arial"/>
          <w:color w:val="000000"/>
          <w:lang w:eastAsia="ru-RU"/>
        </w:rPr>
        <w:t>производное</w:t>
      </w:r>
      <w:proofErr w:type="gram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замещенного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бензоимидазола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), превращаясь в кислой среде париетальных клеток в активный метаболит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сульфенамид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, необратимо ингибирует протонную помпу. Действие продолжительное (назначается 1 раз в сутки). Хорошо переносится. Из осложнений </w:t>
      </w:r>
      <w:proofErr w:type="gramStart"/>
      <w:r w:rsidRPr="001F5E73">
        <w:rPr>
          <w:rFonts w:ascii="Arial" w:eastAsia="Times New Roman" w:hAnsi="Arial" w:cs="Arial"/>
          <w:color w:val="000000"/>
          <w:lang w:eastAsia="ru-RU"/>
        </w:rPr>
        <w:t>возможны</w:t>
      </w:r>
      <w:proofErr w:type="gramEnd"/>
      <w:r w:rsidRPr="001F5E73">
        <w:rPr>
          <w:rFonts w:ascii="Arial" w:eastAsia="Times New Roman" w:hAnsi="Arial" w:cs="Arial"/>
          <w:color w:val="000000"/>
          <w:lang w:eastAsia="ru-RU"/>
        </w:rPr>
        <w:t xml:space="preserve"> тошнота, диарея, компенсаторная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гипергастринемия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. Обладает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гастропротекторным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действием.</w:t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r w:rsidRPr="001F5E73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proofErr w:type="gramStart"/>
      <w:r w:rsidRPr="001F5E73">
        <w:rPr>
          <w:rFonts w:ascii="Arial" w:eastAsia="Times New Roman" w:hAnsi="Arial" w:cs="Arial"/>
          <w:color w:val="000000"/>
          <w:lang w:eastAsia="ru-RU"/>
        </w:rPr>
        <w:t>Мизопростол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оказывает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гипацидное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действие за счет взаимодействия содержащихся в нем ПГЕ с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аденилатциклазой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и уменьшения образования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цАМФ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в клетках стенки желудка.</w:t>
      </w:r>
      <w:proofErr w:type="gramEnd"/>
      <w:r w:rsidRPr="001F5E73">
        <w:rPr>
          <w:rFonts w:ascii="Arial" w:eastAsia="Times New Roman" w:hAnsi="Arial" w:cs="Arial"/>
          <w:color w:val="000000"/>
          <w:lang w:eastAsia="ru-RU"/>
        </w:rPr>
        <w:t xml:space="preserve"> Также обладает </w:t>
      </w:r>
      <w:proofErr w:type="spellStart"/>
      <w:r w:rsidRPr="001F5E73">
        <w:rPr>
          <w:rFonts w:ascii="Arial" w:eastAsia="Times New Roman" w:hAnsi="Arial" w:cs="Arial"/>
          <w:color w:val="000000"/>
          <w:lang w:eastAsia="ru-RU"/>
        </w:rPr>
        <w:t>гастропротекторным</w:t>
      </w:r>
      <w:proofErr w:type="spell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действием, снижает АД. </w:t>
      </w:r>
      <w:proofErr w:type="gramStart"/>
      <w:r w:rsidRPr="001F5E73">
        <w:rPr>
          <w:rFonts w:ascii="Arial" w:eastAsia="Times New Roman" w:hAnsi="Arial" w:cs="Arial"/>
          <w:color w:val="000000"/>
          <w:lang w:eastAsia="ru-RU"/>
        </w:rPr>
        <w:t>Противопоказан</w:t>
      </w:r>
      <w:proofErr w:type="gramEnd"/>
      <w:r w:rsidRPr="001F5E73">
        <w:rPr>
          <w:rFonts w:ascii="Arial" w:eastAsia="Times New Roman" w:hAnsi="Arial" w:cs="Arial"/>
          <w:color w:val="000000"/>
          <w:lang w:eastAsia="ru-RU"/>
        </w:rPr>
        <w:t xml:space="preserve"> беременным и кормящим женщинам.</w:t>
      </w:r>
      <w:bookmarkStart w:id="0" w:name="_GoBack"/>
      <w:bookmarkEnd w:id="0"/>
    </w:p>
    <w:sectPr w:rsidR="0020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A7"/>
    <w:rsid w:val="001F5E73"/>
    <w:rsid w:val="00205CC5"/>
    <w:rsid w:val="00E857A7"/>
    <w:rsid w:val="00F5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2020-03-17T07:35:00Z</dcterms:created>
  <dcterms:modified xsi:type="dcterms:W3CDTF">2020-03-17T07:35:00Z</dcterms:modified>
</cp:coreProperties>
</file>